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країнах теплих, полудневих…</w:t>
      </w:r>
    </w:p>
    <w:p>
      <w:r>
        <w:br/>
        <w:t xml:space="preserve"> В країнах теплих, полудневих&lt;br /&gt;</w:t>
        <w:br/>
        <w:t>Злітає дощ із хмар рожевих,&lt;br /&gt;</w:t>
        <w:br/>
        <w:t>І переймають на путі&lt;br /&gt;</w:t>
        <w:br/>
        <w:t>Його проміння золоті.</w:t>
      </w:r>
    </w:p>
    <w:p>
      <w:r>
        <w:br/>
        <w:t>В країнах теплих дике море&lt;br /&gt;</w:t>
        <w:br/>
        <w:t>До вас співає і говоре,&lt;br /&gt;</w:t>
        <w:br/>
        <w:t>І в ріжних шатах кожну мить&lt;br /&gt;</w:t>
        <w:br/>
        <w:t>Цвіте, щоб вас заворожить.</w:t>
      </w:r>
    </w:p>
    <w:p>
      <w:r>
        <w:br/>
        <w:t>В країнах теплих, полудневих,&lt;br /&gt;</w:t>
        <w:br/>
        <w:t>Як брав я в сонця мрій рожевих...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країнах теплих, полудневих…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