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якім одінні ти зійшла на кручу?...</w:t>
      </w:r>
    </w:p>
    <w:p>
      <w:r>
        <w:br/>
        <w:t xml:space="preserve"> В якім одінні ти зійшла на кручу?&lt;br /&gt;</w:t>
        <w:br/>
        <w:t>Я бачу тільки музику в імлі.&lt;br /&gt;</w:t>
        <w:br/>
        <w:t>Я чую тільки тишу неминучу,&lt;br /&gt;</w:t>
        <w:br/>
        <w:t>заховану, як церква у золі.</w:t>
      </w:r>
    </w:p>
    <w:p>
      <w:r>
        <w:br/>
        <w:t>Звучати мусять ці горби, співати! –&lt;br /&gt;</w:t>
        <w:br/>
        <w:t>ця пустка сива, ці горби святі, –&lt;br /&gt;</w:t>
        <w:br/>
        <w:t>хоча б душі останньої заради&lt;br /&gt;</w:t>
        <w:br/>
        <w:t>в її потворній, чистій наготі.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якім одінні ти зійшла на кручу?...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