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діброві</w:t>
      </w:r>
    </w:p>
    <w:p>
      <w:r>
        <w:br/>
        <w:t xml:space="preserve"> Он чорний шпак співа вгорі,&lt;br /&gt;</w:t>
        <w:br/>
        <w:t>Зозуля голосно кукука;&lt;br /&gt;</w:t>
        <w:br/>
        <w:t>Скриплять червоні снігурі,&lt;br /&gt;</w:t>
        <w:br/>
        <w:t>В дубову кору дятел стука.</w:t>
      </w:r>
    </w:p>
    <w:p>
      <w:r>
        <w:br/>
        <w:t>Щебече зяблича сім'я,&lt;br /&gt;</w:t>
        <w:br/>
        <w:t>І сиза горлиця воркує;&lt;br /&gt;</w:t>
        <w:br/>
        <w:t>Чудова ж пісня солов'я&lt;br /&gt;</w:t>
        <w:br/>
        <w:t>Над всіми співами царює.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діброві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