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борделях снiв обвуглена iнфанта...</w:t>
      </w:r>
    </w:p>
    <w:p>
      <w:r>
        <w:br/>
        <w:t xml:space="preserve"> В борделях снiв обвуглена iнфанта&lt;br /&gt;</w:t>
        <w:br/>
        <w:t>Портретом босим плаче херувим.&lt;br /&gt;</w:t>
        <w:br/>
        <w:t>Солодкий фальш i кислуватий фатум,&lt;br /&gt;</w:t>
        <w:br/>
        <w:t>А наостанок — чийсь Єрусалим…</w:t>
      </w:r>
    </w:p>
    <w:p>
      <w:r>
        <w:br/>
        <w:t>Вже й третiй пiлiгрим пiшов i канув,&lt;br /&gt;</w:t>
        <w:br/>
        <w:t>I тiльки храми, зведенi з пiскiв,&lt;br /&gt;</w:t>
        <w:br/>
        <w:t>Беруть на руки спалену i п'яну,&lt;br /&gt;</w:t>
        <w:br/>
        <w:t>Обвуглену людьми в борделях снiв…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борделях снiв обвуглена iнфанта...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