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храмі</w:t>
      </w:r>
    </w:p>
    <w:p>
      <w:r>
        <w:br/>
        <w:t xml:space="preserve"> Ти, вигнана Богом,&lt;br /&gt;</w:t>
        <w:br/>
        <w:t>стоїш при свічі&lt;br /&gt;</w:t>
        <w:br/>
        <w:t>на чорній землі,&lt;br /&gt;</w:t>
        <w:br/>
        <w:t>питаєшся в Нього:&lt;br /&gt;</w:t>
        <w:br/>
        <w:t>для кого мечі&lt;br /&gt;</w:t>
        <w:br/>
        <w:t>кують ковалі?&lt;br /&gt;</w:t>
        <w:br/>
        <w:t>Не каже, для кого.&lt;br /&gt;</w:t>
        <w:br/>
        <w:t>У чорні ліси,&lt;br /&gt;</w:t>
        <w:br/>
        <w:t>на гори й степи&lt;br /&gt;</w:t>
        <w:br/>
        <w:t>ти вигнана Богом.&lt;br /&gt;</w:t>
        <w:br/>
        <w:t>Свічу погаси&lt;br /&gt;</w:t>
        <w:br/>
        <w:t>і переступи&lt;br /&gt;</w:t>
        <w:br/>
        <w:t>змію під порогом.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храмі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