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Тут навіть гуркіт трамвая – вечірніми дзвонами...</w:t>
      </w:r>
    </w:p>
    <w:p>
      <w:r>
        <w:br/>
        <w:t xml:space="preserve"> Тут навіть гуркіт трамвая – вечірніми дзвонами.&lt;br /&gt;</w:t>
        <w:br/>
        <w:t>Тут навіть дим – не гіркий , а солодко-солоний.&lt;br /&gt;</w:t>
        <w:br/>
        <w:t>Тут навіть мряка м’яка, як дитяча долоня.</w:t>
      </w:r>
    </w:p>
    <w:p>
      <w:r>
        <w:br/>
        <w:t>Тут кожна площа здіймається білою птахою.&lt;br /&gt;</w:t>
        <w:br/>
        <w:t>Тут кожне дерево пнеться до сонця над дахом.&lt;br /&gt;</w:t>
        <w:br/>
        <w:t>Тут кожна квітка твоїми губами пахне.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Тут навіть гуркіт трамвая – вечірніми дзвонами...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