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Трунок півночі</w:t>
      </w:r>
    </w:p>
    <w:p>
      <w:r>
        <w:br/>
        <w:t xml:space="preserve"> П’ю трунок півночі,&lt;br /&gt;</w:t>
        <w:br/>
        <w:t>зіллям відьомським насичений,&lt;br /&gt;</w:t>
        <w:br/>
        <w:t>п’ю трунок закінчення&lt;br /&gt;</w:t>
        <w:br/>
        <w:t>і відчаю...&lt;br /&gt;</w:t>
        <w:br/>
        <w:t>поки уп’юсь докраю.&lt;br /&gt;</w:t>
        <w:br/>
        <w:t>Місяць – постійний товариш –&lt;br /&gt;</w:t>
        <w:br/>
        <w:t>дивиться в око зловісно.&lt;br /&gt;</w:t>
        <w:br/>
        <w:t>Чом ти вже зілля такого не звариш,&lt;br /&gt;</w:t>
        <w:br/>
        <w:t>щоб від нього повісилась.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Трунок півночі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