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дивишся. А я вже — як на трапі…</w:t>
      </w:r>
    </w:p>
    <w:p>
      <w:r>
        <w:br/>
        <w:t xml:space="preserve"> Ти дивишся. А я вже — як на трапі.&lt;br /&gt;</w:t>
        <w:br/>
        <w:t>І слів нема. І туга через край.&lt;br /&gt;</w:t>
        <w:br/>
        <w:t>Життя іде по "Гаусовій шляпі":&lt;br /&gt;</w:t>
        <w:br/>
        <w:t>отак от — "здрастуй", а отак — "прощай".</w:t>
      </w:r>
    </w:p>
    <w:p>
      <w:r>
        <w:br/>
        <w:t>Прощай, прощай, чужа мені людино!&lt;br /&gt;</w:t>
        <w:br/>
        <w:t>Ще не було ріднішого, як ти.&lt;br /&gt;</w:t>
        <w:br/>
        <w:t>Оце і є той випадок єдиний,&lt;br /&gt;</w:t>
        <w:br/>
        <w:t>коли найбільша мужність — утекти.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дивишся. А я вже — як на трапі…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