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Тепло-синій вечір припав до черешень...</w:t>
      </w:r>
    </w:p>
    <w:p>
      <w:r>
        <w:br/>
        <w:t xml:space="preserve"> Тепло-синій вечір припав до черешень.&lt;br /&gt;</w:t>
        <w:br/>
        <w:t>В похилій задумі снігу в’яжуться мережі синьо-сині,&lt;br /&gt;</w:t>
        <w:br/>
        <w:t>Мережі, як в хатньому теплі.&lt;br /&gt;</w:t>
        <w:br/>
        <w:t>В’яжуться мережі до верби-черешні,&lt;br /&gt;</w:t>
        <w:br/>
        <w:t>Де гілля сухого, голого, як вечірня осінь,&lt;br /&gt;</w:t>
        <w:br/>
        <w:t>В’яжуться, як в просинь, теплоємнім кольором.&lt;br /&gt;</w:t>
        <w:br/>
        <w:t>Тепло-синій вечір припав до черешень.&lt;br /&gt;</w:t>
        <w:br/>
        <w:t>Добрий вечір.&lt;br /&gt;</w:t>
        <w:br/>
        <w:t>Добрий вечір.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Тепло-синій вечір припав до черешень...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