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Тече ріка повільно у долині...</w:t>
      </w:r>
    </w:p>
    <w:p>
      <w:r>
        <w:br/>
        <w:t xml:space="preserve"> * * *</w:t>
      </w:r>
    </w:p>
    <w:p>
      <w:r>
        <w:br/>
        <w:t>Тече ріка повільно у долині,&lt;br /&gt;</w:t>
        <w:br/>
        <w:t>Дім на узгірку вікна засвітив.&lt;br /&gt;</w:t>
        <w:br/>
        <w:t>А ми живемо як при Катерині:&lt;br /&gt;</w:t>
        <w:br/>
        <w:t>Молебні правим, ждемо врожаїв-.&lt;br /&gt;</w:t>
        <w:br/>
        <w:t>До нас, дводенну винісши розлуку,&lt;br /&gt;</w:t>
        <w:br/>
        <w:t>Гість їде вздовж злотистих нив сумних,&lt;br /&gt;</w:t>
        <w:br/>
        <w:t>Цілує у вітальні бабці руку&lt;br /&gt;</w:t>
        <w:br/>
        <w:t>Й мені уста на сходах на крутих.</w:t>
      </w:r>
    </w:p>
    <w:p>
      <w:r>
        <w:br/>
        <w:t>Літо 1917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Тече ріка повільно у долині...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