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 ж саме</w:t>
      </w:r>
    </w:p>
    <w:p>
      <w:r>
        <w:br/>
        <w:t xml:space="preserve"> — Ну, куди таке годиться!&lt;br /&gt;</w:t>
        <w:br/>
        <w:t>В тебе вдруге одиниця!</w:t>
      </w:r>
    </w:p>
    <w:p>
      <w:r>
        <w:br/>
        <w:t>— А мене сьогодні, мамо,&lt;br /&gt;</w:t>
        <w:br/>
        <w:t>Запитали знов те ж саме.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 ж саме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