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води</w:t>
      </w:r>
    </w:p>
    <w:p>
      <w:r>
        <w:br/>
        <w:t xml:space="preserve"> Мокрі ще й досі&lt;br /&gt;</w:t>
        <w:br/>
        <w:t>вузький твій човен —&lt;br /&gt;</w:t>
        <w:br/>
        <w:t>цілісіньку ніч&lt;br /&gt;</w:t>
        <w:br/>
        <w:t>я плавав у ньому.&lt;br /&gt;</w:t>
        <w:br/>
        <w:t>Як зоря вже зійшла&lt;br /&gt;</w:t>
        <w:br/>
        <w:t>та й розкрилась червоно:&lt;br /&gt;</w:t>
        <w:br/>
        <w:t>ах, якою водою пречистою&lt;br /&gt;</w:t>
        <w:br/>
        <w:t>обілляв я тебе!&lt;br /&gt;</w:t>
        <w:br/>
        <w:t>Чи то паморозь&lt;br /&gt;</w:t>
        <w:br/>
        <w:t>стала тобі ув очах величезних,&lt;br /&gt;</w:t>
        <w:br/>
        <w:t>чи то льодом тонким&lt;br /&gt;</w:t>
        <w:br/>
        <w:t>уся річка взялася?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