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Стежка</w:t>
      </w:r>
    </w:p>
    <w:p>
      <w:r>
        <w:br/>
        <w:t xml:space="preserve"> Куди ж побігла ти? Постій!&lt;br /&gt;</w:t>
        <w:br/>
        <w:t>Не слухає. Біжить;&lt;br /&gt;</w:t>
        <w:br/>
        <w:t>І струногон зелений свій&lt;br /&gt;</w:t>
        <w:br/>
        <w:t>Городами дзюрить.&lt;br /&gt;</w:t>
        <w:br/>
        <w:t>Гаряча тінь – як вирізан&lt;br /&gt;</w:t>
        <w:br/>
        <w:t>На береги тісні:&lt;br /&gt;</w:t>
        <w:br/>
        <w:t>То літнє сонце в день вгруза&lt;br /&gt;</w:t>
        <w:br/>
        <w:t>Крізь дерева рясні.&lt;br /&gt;</w:t>
        <w:br/>
        <w:t>За південь легка снадь лягла&lt;br /&gt;</w:t>
        <w:br/>
        <w:t>На стьожку голубу…&lt;br /&gt;</w:t>
        <w:br/>
        <w:t>З кінця в кінець – біжить, ґуля,&lt;br /&gt;</w:t>
        <w:br/>
        <w:t>І пнеться у дугу.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