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Спогад</w:t>
      </w:r>
    </w:p>
    <w:p>
      <w:r>
        <w:br/>
        <w:t xml:space="preserve"> Віддаленість, спогад,&lt;br /&gt;</w:t>
        <w:br/>
        <w:t>зелена гілка, кинута рукою.&lt;br /&gt;</w:t>
        <w:br/>
        <w:t>І мов шовкова квітка.&lt;br /&gt;</w:t>
        <w:br/>
        <w:t>У спогаді тверде її стебло.&lt;br /&gt;</w:t>
        <w:br/>
        <w:t>А квітка – мить,&lt;br /&gt;</w:t>
        <w:br/>
        <w:t>до пахощі і сутінки в слідах,&lt;br /&gt;</w:t>
        <w:br/>
        <w:t>піщаний берег,&lt;br /&gt;</w:t>
        <w:br/>
        <w:t>коливання полиску:&lt;br /&gt;</w:t>
        <w:br/>
        <w:t>то є, то губишся.&lt;br /&gt;</w:t>
        <w:br/>
        <w:t>І часом тільки рінь,&lt;br /&gt;</w:t>
        <w:br/>
        <w:t>якщо вдивлятися.&lt;br /&gt;</w:t>
        <w:br/>
        <w:t>А після повені і квіти і трава&lt;br /&gt;</w:t>
        <w:br/>
        <w:t>усе густо й незаймане...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Спогад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