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Сопілки й сурми грають</w:t>
      </w:r>
    </w:p>
    <w:p>
      <w:r>
        <w:br/>
        <w:t xml:space="preserve"> XX.</w:t>
      </w:r>
    </w:p>
    <w:p>
      <w:r>
        <w:br/>
        <w:t>Сопілки й сурми грають,&lt;br /&gt;</w:t>
        <w:br/>
        <w:t>І скрипочка заводить;&lt;br /&gt;</w:t>
        <w:br/>
        <w:t>Ох, то ж моя кохана&lt;br /&gt;</w:t>
        <w:br/>
        <w:t>Танок весільний водить!</w:t>
      </w:r>
    </w:p>
    <w:p>
      <w:r>
        <w:br/>
        <w:t>Там бубни й джоломійки&lt;br /&gt;</w:t>
        <w:br/>
        <w:t>Бринять, дзвенять, лунають;&lt;br /&gt;</w:t>
        <w:br/>
        <w:t>Там добрі янголята&lt;br /&gt;</w:t>
        <w:br/>
        <w:t>І стогнуть, і ридають…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Сопілки й сурми грають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