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Смутні картини</w:t>
      </w:r>
    </w:p>
    <w:p>
      <w:r>
        <w:br/>
        <w:t xml:space="preserve"> Убогії ниви, убогії села,&lt;br /&gt;</w:t>
        <w:br/>
        <w:t>Убогий, обшарпаний люд,-&lt;br /&gt;</w:t>
        <w:br/>
        <w:t>Смутнії картини, смутні-невеселі,&lt;br /&gt;</w:t>
        <w:br/>
        <w:t>А інших не знайдеш ти тут.</w:t>
      </w:r>
    </w:p>
    <w:p>
      <w:r>
        <w:br/>
        <w:t>Не став би дивитись, схотів би забути,&lt;br /&gt;</w:t>
        <w:br/>
        <w:t>Так сили забути нема:&lt;br /&gt;</w:t>
        <w:br/>
        <w:t>То ріднії села, то ріднії люди,&lt;br /&gt;</w:t>
        <w:br/>
        <w:t>То наша Вкраїна сама!..&lt;br /&gt;</w:t>
        <w:br/>
        <w:t>I883.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Смутні картини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