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Синиця</w:t>
      </w:r>
    </w:p>
    <w:p>
      <w:r>
        <w:br/>
        <w:t xml:space="preserve"> Синичка дзьобала сало,&lt;br /&gt;</w:t>
        <w:br/>
        <w:t>Прив'язане до вікна,&lt;br /&gt;</w:t>
        <w:br/>
        <w:t>А потім сала не стало,&lt;br /&gt;</w:t>
        <w:br/>
        <w:t>Та все прилітала вона.</w:t>
      </w:r>
    </w:p>
    <w:p>
      <w:r>
        <w:br/>
        <w:t>На скрипці грала під хатою,&lt;br /&gt;</w:t>
        <w:br/>
        <w:t>Але не просила їди,&lt;br /&gt;</w:t>
        <w:br/>
        <w:t>Бо стала сама багатою —&lt;br /&gt;</w:t>
        <w:br/>
        <w:t>Минулися холоди.</w:t>
      </w:r>
    </w:p>
    <w:p>
      <w:r>
        <w:br/>
        <w:t>Із вдячності пташка грала,&lt;br /&gt;</w:t>
        <w:br/>
        <w:t>Неначе скрипаль-корифей.&lt;br /&gt;</w:t>
        <w:br/>
        <w:t>А хата їй відповідала&lt;br /&gt;</w:t>
        <w:br/>
        <w:t>Щасливим сміхом дітей.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