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Сяду за діло — нічого не робиться...</w:t>
      </w:r>
    </w:p>
    <w:p>
      <w:r>
        <w:br/>
        <w:t xml:space="preserve"> Сяду за діло — нічого не робиться,&lt;br /&gt;</w:t>
        <w:br/>
        <w:t>Стану гадати — чомусь не гадається,&lt;br /&gt;</w:t>
        <w:br/>
        <w:t>Все щось безрадісно, все щось хоробиться,&lt;br /&gt;</w:t>
        <w:br/>
        <w:t>Все мені образ твій любий ввижається.</w:t>
      </w:r>
    </w:p>
    <w:p>
      <w:r>
        <w:br/>
        <w:t>Де ж ти, голубонько? Де? На хвилиночку&lt;br /&gt;</w:t>
        <w:br/>
        <w:t>Глянь з отим усміхом милим, чаруючим,&lt;br /&gt;</w:t>
        <w:br/>
        <w:t>Втіхи, надій принеси хоть краплиночку,&lt;br /&gt;</w:t>
        <w:br/>
        <w:t>Виклич життя нове в серці сумуючім!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Сяду за діло — нічого не робиться...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