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Шипиш...</w:t>
      </w:r>
    </w:p>
    <w:p>
      <w:r>
        <w:br/>
        <w:t xml:space="preserve"> Шипиш...&lt;br /&gt;</w:t>
        <w:br/>
        <w:t>Ти – войовит.&lt;br /&gt;</w:t>
        <w:br/>
        <w:t>Віки тер єретиків.&lt;br /&gt;</w:t>
        <w:br/>
        <w:t>Ти – щит.&lt;br /&gt;</w:t>
        <w:br/>
        <w:t>Живи ж.&lt;br /&gt;</w:t>
        <w:br/>
        <w:t>Я – цар під роями рим'я, орд...&lt;br /&gt;</w:t>
        <w:br/>
        <w:t>і праця –&lt;br /&gt;</w:t>
        <w:br/>
        <w:t>Осяяння. ( Ясо&lt;br /&gt;</w:t>
        <w:br/>
        <w:t>Осяяння, ясо!)&lt;br /&gt;</w:t>
        <w:br/>
        <w:t>Я – цар. Пієтет є і праця.&lt;br /&gt;</w:t>
        <w:br/>
        <w:t>І – цар патики та праці.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