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 вночі</w:t>
      </w:r>
    </w:p>
    <w:p>
      <w:r>
        <w:br/>
        <w:t xml:space="preserve"> …І знову братися за справу українську —&lt;br /&gt;</w:t>
        <w:br/>
        <w:t>писати вірші, сіяти зерно&lt;br /&gt;</w:t>
        <w:br/>
        <w:t>і думати про військо запорізьке,&lt;br /&gt;</w:t>
        <w:br/>
        <w:t>якого вже немає так давно.</w:t>
      </w:r>
    </w:p>
    <w:p>
      <w:r>
        <w:br/>
        <w:t>Не відректися нам своєї вдачі,&lt;br /&gt;</w:t>
        <w:br/>
        <w:t>як білці колеса, як зорей — небесам…&lt;br /&gt;</w:t>
        <w:br/>
        <w:t>Чого ти плачеш, гетьман Сагайдачний?&lt;br /&gt;</w:t>
        <w:br/>
        <w:t>Чого ти знову сам не свій — і сам?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