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Щоб равликові було гарно</w:t>
      </w:r>
    </w:p>
    <w:p>
      <w:r>
        <w:br/>
        <w:t xml:space="preserve"> Та коли б ти, Равлику,&lt;br /&gt;</w:t>
        <w:br/>
        <w:t>виріс господариком,&lt;br /&gt;</w:t>
        <w:br/>
        <w:t>то ти б свою хатку&lt;br /&gt;</w:t>
        <w:br/>
        <w:t>ставив на горбі:&lt;br /&gt;</w:t>
        <w:br/>
        <w:t>вікнами — до соняхів,&lt;br /&gt;</w:t>
        <w:br/>
        <w:t>стінами — до ластівок,&lt;br /&gt;</w:t>
        <w:br/>
        <w:t>стріхою — до зіроньок.&lt;br /&gt;</w:t>
        <w:br/>
        <w:t>Ну, а двері,&lt;br /&gt;</w:t>
        <w:br/>
        <w:t>Равлику,&lt;br /&gt;</w:t>
        <w:br/>
        <w:t>відчини мені!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Щоб равликові було гарно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