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Розмовляти вночі по-слов’янському...</w:t>
      </w:r>
    </w:p>
    <w:p>
      <w:r>
        <w:br/>
        <w:t xml:space="preserve"> Розмовляти вночі по-слов’янському тихо зітхати&lt;br /&gt;</w:t>
        <w:br/>
        <w:t>про джерела грибів про ікони з хрещатим барвінком&lt;br /&gt;</w:t>
        <w:br/>
        <w:t>і чекати на жінку нестриману сіру і сарну&lt;br /&gt;</w:t>
        <w:br/>
        <w:t>каву скороминущу у трунок гіркий підливати</w:t>
      </w:r>
    </w:p>
    <w:p>
      <w:r>
        <w:br/>
        <w:t>а гітара за ксьондза а свічка за велену радість&lt;br /&gt;</w:t>
        <w:br/>
        <w:t>хвиля х&amp;#243;роше б’є видноколо як свіжа рілля&lt;br /&gt;</w:t>
        <w:br/>
        <w:t>жінка чиста як сіль і не прийде вона і не н&amp;#225;дійсь&lt;br /&gt;</w:t>
        <w:br/>
        <w:t>і не треба мовчати вночі і не треба вночі розмовлять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Розмовляти вночі по-слов’янському...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