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— Березню, де дів санчата?&lt;br /&gt;</w:t>
        <w:br/>
        <w:t>— Та узяв продав.&lt;br /&gt;</w:t>
        <w:br/>
        <w:t>— Хочеш човника придбати?&lt;br /&gt;</w:t>
        <w:br/>
        <w:t>— Та узяв придбав.&lt;br /&gt;</w:t>
        <w:br/>
        <w:t>— І куди ж це ти веслуєш?&lt;br /&gt;</w:t>
        <w:br/>
        <w:t>У які краї?&lt;br /&gt;</w:t>
        <w:br/>
        <w:t>— Та в зелені, у вишневі,&lt;br /&gt;</w:t>
        <w:br/>
        <w:t>у краї свої.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