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Розчиняться холодні двері...</w:t>
      </w:r>
    </w:p>
    <w:p>
      <w:r>
        <w:br/>
        <w:t xml:space="preserve"> Розчиняться холодні двері&lt;br /&gt;</w:t>
        <w:br/>
        <w:t>І піде неправдивий дим.&lt;br /&gt;</w:t>
        <w:br/>
        <w:t>Багнеться Тайної Вечері&lt;br /&gt;</w:t>
        <w:br/>
        <w:t>І ворухнуть святим,</w:t>
      </w:r>
    </w:p>
    <w:p>
      <w:r>
        <w:br/>
        <w:t>І ворухнуть Європами й Азіями,&lt;br /&gt;</w:t>
        <w:br/>
        <w:t>Наскрізь проткнуть — як день —&lt;br /&gt;</w:t>
        <w:br/>
        <w:t>Викинуть думками в оберемок з'язаними&lt;br /&gt;</w:t>
        <w:br/>
        <w:t>Блакитний з голови пень.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Розчиняться холодні двері...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