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Прошак під церквою</w:t>
      </w:r>
    </w:p>
    <w:p>
      <w:r>
        <w:br/>
        <w:t xml:space="preserve"> Мохнатий, мохнавий, патлатий,&lt;br /&gt;</w:t>
        <w:br/>
        <w:t>курлапий та клишавий та чеверногий&lt;br /&gt;</w:t>
        <w:br/>
        <w:t>вилукуваті підігнув під себе ноги&lt;br /&gt;</w:t>
        <w:br/>
        <w:t>й більмом споглядає на сонячну лату.</w:t>
      </w:r>
    </w:p>
    <w:p>
      <w:r>
        <w:br/>
        <w:t>Брудний, космогрудий, від бруду&lt;br /&gt;</w:t>
        <w:br/>
        <w:t>руді підняв груди.&lt;br /&gt;</w:t>
        <w:br/>
        <w:t>Беззуба щока, спорохнявіле ясно.&lt;br /&gt;</w:t>
        <w:br/>
        <w:t>О, сонце, всім світить так ясно,&lt;br /&gt;</w:t>
        <w:br/>
        <w:t>всі рівні є люди.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Прошак під церквою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