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Пройдеш туди, куди немає входу...</w:t>
      </w:r>
    </w:p>
    <w:p>
      <w:r>
        <w:br/>
        <w:t xml:space="preserve"> Пройдеш туди, куди немає входу,&lt;br /&gt;</w:t>
        <w:br/>
        <w:t>Крізь довжелезну вервицю дверей.&lt;br /&gt;</w:t>
        <w:br/>
        <w:t>Тебе нестримний вітер забере&lt;br /&gt;</w:t>
        <w:br/>
        <w:t>Туди, де жінка набирає воду</w:t>
      </w:r>
    </w:p>
    <w:p>
      <w:r>
        <w:br/>
        <w:t>У білий глек. Крізь дзеркало води&lt;br /&gt;</w:t>
        <w:br/>
        <w:t>Минає світ – у відблисках і бризках.&lt;br /&gt;</w:t>
        <w:br/>
        <w:t>Сьогодні в тебе, квітко тамариску,&lt;br /&gt;</w:t>
        <w:br/>
        <w:t>Законний шлюб із вітром молодим.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Пройдеш туди, куди немає входу...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