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Гаврила і чорнило</w:t>
      </w:r>
    </w:p>
    <w:p>
      <w:r>
        <w:br/>
        <w:t xml:space="preserve"> — Що робить? — пита Гаврило.—&lt;br /&gt;</w:t>
        <w:br/>
        <w:t>Я ковтнув чорнила...</w:t>
      </w:r>
    </w:p>
    <w:p>
      <w:r>
        <w:br/>
        <w:t>— Проковтни ще й промокатку,—&lt;br /&gt;</w:t>
        <w:br/>
        <w:t>Буде все в порядку!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Гаврила і чорнило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