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Правда</w:t>
      </w:r>
    </w:p>
    <w:p>
      <w:r>
        <w:br/>
        <w:t xml:space="preserve"> — Скажи мені, моя мила,&lt;br /&gt;</w:t>
        <w:br/>
        <w:t>Де місяць днує,&lt;br /&gt;</w:t>
        <w:br/>
        <w:t>А я тобі скажу правду,&lt;br /&gt;</w:t>
        <w:br/>
        <w:t>Де правда та є.&lt;br /&gt;</w:t>
        <w:br/>
        <w:t>— Хіба в церкві на коверці!&lt;br /&gt;</w:t>
        <w:br/>
        <w:t>— Ой ні, душко, моє серце!&lt;br /&gt;</w:t>
        <w:br/>
        <w:t>Бо та правда — сама в собі:&lt;br /&gt;</w:t>
        <w:br/>
        <w:t>Лиш в колисці та у гробі.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