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"Пожежник"</w:t>
      </w:r>
    </w:p>
    <w:p>
      <w:r>
        <w:br/>
        <w:t xml:space="preserve"> Він сам підпалював і сам таки й гасив,&lt;br /&gt;</w:t>
        <w:br/>
        <w:t>Палив тихенько, а гасив —&lt;br /&gt;</w:t>
        <w:br/>
        <w:t>щоб люди бачили.&lt;br /&gt;</w:t>
        <w:br/>
        <w:t>І от — свого домігся, сучий син:&lt;br /&gt;</w:t>
        <w:br/>
        <w:t>Вже палія — пожежником призначили!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"Пожежник"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