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 осіння кличе до пера...</w:t>
      </w:r>
    </w:p>
    <w:p>
      <w:r>
        <w:br/>
        <w:t xml:space="preserve"> Пора осіння кличе до пера,&lt;br /&gt;</w:t>
        <w:br/>
        <w:t>Розважність слова, як розважність цвіту.&lt;br /&gt;</w:t>
        <w:br/>
        <w:t>Вже все інакше. Вже ота пора,&lt;br /&gt;</w:t>
        <w:br/>
        <w:t>Коли не "прагнуть" треба, а "робити".</w:t>
      </w:r>
    </w:p>
    <w:p>
      <w:r>
        <w:br/>
        <w:t>Вже сонце знає часу крутосхил,&lt;br /&gt;</w:t>
        <w:br/>
        <w:t>Вже стільки листя – просто за водою...&lt;br /&gt;</w:t>
        <w:br/>
        <w:t>Лише берізка із останніх сил&lt;br /&gt;</w:t>
        <w:br/>
        <w:t>Так прагне&lt;br /&gt;</w:t>
        <w:br/>
        <w:t>видаватись&lt;br /&gt;</w:t>
        <w:br/>
        <w:t>молодою...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 осіння кличе до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