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Покличем на печаль і тугу...</w:t>
      </w:r>
    </w:p>
    <w:p>
      <w:r>
        <w:br/>
        <w:t xml:space="preserve"> &lt;blockquote&gt;Пам'яті Гната Михайличенка&lt;/blockquote&gt;&lt;br /&gt;</w:t>
        <w:br/>
        <w:t>Покличем на печаль і тугу!&lt;br /&gt;</w:t>
        <w:br/>
        <w:t>Наш брат огнеокий догорів.&lt;br /&gt;</w:t>
        <w:br/>
        <w:t>На дороги повіяло з лугу&lt;br /&gt;</w:t>
        <w:br/>
        <w:t>Тінями диких вечорів.</w:t>
      </w:r>
    </w:p>
    <w:p>
      <w:r>
        <w:br/>
        <w:t>Над бур'янами сухими&lt;br /&gt;</w:t>
        <w:br/>
        <w:t>Наша печаль стогне.&lt;br /&gt;</w:t>
        <w:br/>
        <w:t>Гукнімо з вечорами глухими:&lt;br /&gt;</w:t>
        <w:br/>
        <w:t>"Воскресни, Огне!"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Покличем на печаль і тугу...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