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Поете, одійди!</w:t>
      </w:r>
    </w:p>
    <w:p>
      <w:r>
        <w:br/>
        <w:t xml:space="preserve"> Поете, одійди!&lt;br /&gt;</w:t>
        <w:br/>
        <w:t>Закинь усе,— візьми лиш рискаля&lt;br /&gt;</w:t>
        <w:br/>
        <w:t>й перекопай той лан од цвинтаря до обрію,&lt;br /&gt;</w:t>
        <w:br/>
        <w:t>засій його ізвечора любов'ю доброю,&lt;br /&gt;</w:t>
        <w:br/>
        <w:t>щоб ранок сяйно-золотий вродився,&lt;br /&gt;</w:t>
        <w:br/>
        <w:t>а в ньому щоб поет ні на що не згодився,-&lt;br /&gt;</w:t>
        <w:br/>
        <w:t>бо люди геть усі&lt;br /&gt;</w:t>
        <w:br/>
        <w:t>уміли б плакати й співати.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Поете, одійди!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