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Подумай, скільки тої шкоди...</w:t>
      </w:r>
    </w:p>
    <w:p>
      <w:r>
        <w:br/>
        <w:t xml:space="preserve"> Подумай, скільки тої шкоди&lt;br /&gt;</w:t>
        <w:br/>
        <w:t>Ти завдаєш нам, матінко-природо.&lt;br /&gt;</w:t>
        <w:br/>
        <w:t>Навіщо завела такі порядки:&lt;br /&gt;</w:t>
        <w:br/>
        <w:t>Як народився — все почни спочатку?!&lt;br /&gt;</w:t>
        <w:br/>
        <w:t>Навчись ходити, потім — говорити,&lt;br /&gt;</w:t>
        <w:br/>
        <w:t>Писати й мислить, мислити й творити,&lt;br /&gt;</w:t>
        <w:br/>
        <w:t>А кожному новому немовлятку&lt;br /&gt;</w:t>
        <w:br/>
        <w:t>Та сама доля — починай спочатку.&lt;br /&gt;</w:t>
        <w:br/>
        <w:t>...Чи не тому у роздумах тривожно:&lt;br /&gt;</w:t>
        <w:br/>
        <w:t>Завжди спочатку...&lt;br /&gt;</w:t>
        <w:br/>
        <w:t>Але доки можна?..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Подумай, скільки тої шкоди...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