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Подорожній мовить</w:t>
      </w:r>
    </w:p>
    <w:p>
      <w:r>
        <w:br/>
        <w:t xml:space="preserve"> Люблю зорі,&lt;br /&gt;</w:t>
        <w:br/>
        <w:t>бо вони схожі на брукові камені —&lt;br /&gt;</w:t>
        <w:br/>
        <w:t>аби я ходив по небу босими ногами,&lt;br /&gt;</w:t>
        <w:br/>
        <w:t>то об них поранився б.</w:t>
      </w:r>
    </w:p>
    <w:p>
      <w:r>
        <w:br/>
        <w:t>Люблю брукові камені,&lt;br /&gt;</w:t>
        <w:br/>
        <w:t>бо вони схожі на зорі —&lt;br /&gt;</w:t>
        <w:br/>
        <w:t>од рана аж до вечора&lt;br /&gt;</w:t>
        <w:br/>
        <w:t>світять мені дорогу.</w:t>
      </w:r>
    </w:p>
    <w:p>
      <w:r>
        <w:br/>
        <w:t>Переклад М. Лукаша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Подорожній мовить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