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Підем, Панно, у простори...</w:t>
      </w:r>
    </w:p>
    <w:p>
      <w:r>
        <w:br/>
        <w:t xml:space="preserve"> Підем, Панно, у простори,&lt;br /&gt;</w:t>
        <w:br/>
        <w:t>Де мажорний вітра подув&lt;br /&gt;</w:t>
        <w:br/>
        <w:t>На безводній хвилі ходить&lt;br /&gt;</w:t>
        <w:br/>
        <w:t>Переходом, як на морі…</w:t>
      </w:r>
    </w:p>
    <w:p>
      <w:r>
        <w:br/>
        <w:t>Підем далі, там де луни&lt;br /&gt;</w:t>
        <w:br/>
        <w:t>Вічно-юних передзвонів&lt;br /&gt;</w:t>
        <w:br/>
        <w:t>Невгомонним срібним тоном&lt;br /&gt;</w:t>
        <w:br/>
        <w:t>Зунісонять наші струни…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Підем, Панно, у простори...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