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Павук</w:t>
      </w:r>
    </w:p>
    <w:p>
      <w:r>
        <w:br/>
        <w:t xml:space="preserve"> Оцей Павук — вже дід.&lt;br /&gt;</w:t>
        <w:br/>
        <w:t>Його внучата —&lt;br /&gt;</w:t>
        <w:br/>
        <w:t>меткі&lt;br /&gt;</w:t>
        <w:br/>
        <w:t>чорненькі&lt;br /&gt;</w:t>
        <w:br/>
        <w:t>павучата —&lt;br /&gt;</w:t>
        <w:br/>
        <w:t>плетуть йому&lt;br /&gt;</w:t>
        <w:br/>
        <w:t>крислатий капелюх,&lt;br /&gt;</w:t>
        <w:br/>
        <w:t>щоб гарний був&lt;br /&gt;</w:t>
        <w:br/>
        <w:t>від сонця,&lt;br /&gt;</w:t>
        <w:br/>
        <w:t>від дощу,&lt;br /&gt;</w:t>
        <w:br/>
        <w:t>від преусякої мороки&lt;br /&gt;</w:t>
        <w:br/>
        <w:t>ще й від мух!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