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Отави вато...</w:t>
      </w:r>
    </w:p>
    <w:p>
      <w:r>
        <w:br/>
        <w:t xml:space="preserve"> Павловi Поповичу</w:t>
      </w:r>
    </w:p>
    <w:p>
      <w:r>
        <w:br/>
        <w:t>Отави вато,&lt;br /&gt;</w:t>
        <w:br/>
        <w:t>Варто трав...&lt;br /&gt;</w:t>
        <w:br/>
        <w:t>О — травень! Не варто&lt;br /&gt;</w:t>
        <w:br/>
        <w:t>Морозити зором...&lt;br /&gt;</w:t>
        <w:br/>
        <w:t>Он воду чудовно&lt;br /&gt;</w:t>
        <w:br/>
        <w:t>Низує Узин.&lt;br /&gt;</w:t>
        <w:br/>
        <w:t>Низ у хатах... Узин.&lt;br /&gt;</w:t>
        <w:br/>
        <w:t>Узин у хатах унизу.&lt;br /&gt;</w:t>
        <w:br/>
        <w:t>Мати там...&lt;br /&gt;</w:t>
        <w:br/>
        <w:t>Матиму думи там...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Отави вато...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