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Обіцяльник</w:t>
      </w:r>
    </w:p>
    <w:p>
      <w:r>
        <w:br/>
        <w:t xml:space="preserve"> Митрофанка в школі й дома&lt;br /&gt;</w:t>
        <w:br/>
        <w:t>Обіцяльником звемо ми.&lt;br /&gt;</w:t>
        <w:br/>
        <w:t>Та і як його не звать?&lt;br /&gt;</w:t>
        <w:br/>
        <w:t>Любить хлопець обіцять.</w:t>
      </w:r>
    </w:p>
    <w:p>
      <w:r>
        <w:br/>
        <w:t>Тільки те, що обіцяє,&lt;br /&gt;</w:t>
        <w:br/>
        <w:t>він одразу ж забуває...</w:t>
      </w:r>
    </w:p>
    <w:p>
      <w:r>
        <w:br/>
        <w:t>Всі сміються з Митрофанка:&lt;br /&gt;</w:t>
        <w:br/>
        <w:t>— На наступних зборах ланки,&lt;br /&gt;</w:t>
        <w:br/>
        <w:t>коли будеш виступать,&lt;br /&gt;</w:t>
        <w:br/>
        <w:t>обіцяй... не о б і ц я т 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Обіцяльник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