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</w:t>
      </w:r>
    </w:p>
    <w:p>
      <w:r>
        <w:br/>
        <w:t xml:space="preserve"> НІЧ</w:t>
      </w:r>
    </w:p>
    <w:p>
      <w:r>
        <w:br/>
        <w:t>Зчорнілі гори небозвід підперли,&lt;br /&gt;</w:t>
        <w:br/>
        <w:t>підніжжя гір у хмарах застрягли,&lt;br /&gt;</w:t>
        <w:br/>
        <w:t>у пахощах вогких ліси завмерли,&lt;br /&gt;</w:t>
        <w:br/>
        <w:t>і сонні мари дебрі налягли.</w:t>
      </w:r>
    </w:p>
    <w:p>
      <w:r>
        <w:br/>
        <w:t>І сниться горам сторона далека,&lt;br /&gt;</w:t>
        <w:br/>
        <w:t>де вічним сном страшні пустині сплять,&lt;br /&gt;</w:t>
        <w:br/>
        <w:t>без гір, без вод, кругом смертельна спека,—&lt;br /&gt;</w:t>
        <w:br/>
        <w:t>ліси стряслись, збудились, знов шумлять...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