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Нежить</w:t>
      </w:r>
    </w:p>
    <w:p>
      <w:r>
        <w:br/>
        <w:t xml:space="preserve"> — Чого це вранці пчихати, — дивись,&lt;br /&gt;</w:t>
        <w:br/>
        <w:t>Невже схолов від сонячного літа?&lt;br /&gt;</w:t>
        <w:br/>
        <w:t>— Це я від тебе, жінко, простудивсь,&lt;br /&gt;</w:t>
        <w:br/>
        <w:t>Бо зранку ти — немов північний вітер...</w:t>
      </w:r>
    </w:p>
    <w:p>
      <w:r>
        <w:br/>
        <w:t>Не перестарайтеся...</w:t>
      </w:r>
    </w:p>
    <w:p>
      <w:r>
        <w:br/>
        <w:t>Як є у завойовники охочі,&lt;br /&gt;</w:t>
        <w:br/>
        <w:t>Хай завойовують серця жіночі...&lt;br /&gt;</w:t>
        <w:br/>
        <w:t>Вчиняйте опір, та недовго, милі,&lt;br /&gt;</w:t>
        <w:br/>
        <w:t>Щоб завойовники, дивись, не відступили.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Нежить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