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Неждано так ця хмара присиніла...</w:t>
      </w:r>
    </w:p>
    <w:p>
      <w:r>
        <w:br/>
        <w:t xml:space="preserve"> Неждано так ця хмара присиніла&lt;br /&gt;</w:t>
        <w:br/>
        <w:t>З-над Сожу, а чи, може, з-над Березина…&lt;br /&gt;</w:t>
        <w:br/>
        <w:t>Трьома вітрами хмара підперезана,&lt;br /&gt;</w:t>
        <w:br/>
        <w:t>Неждано так здалеку присиніла.</w:t>
      </w:r>
    </w:p>
    <w:p>
      <w:r>
        <w:br/>
        <w:t>…Вже й крилонька стомила аж до щему,&lt;br /&gt;</w:t>
        <w:br/>
        <w:t>Ще й грім побив їй крилонька синющо.&lt;br /&gt;</w:t>
        <w:br/>
        <w:t>І пада пір'ячко синесеньким дощем,&lt;br /&gt;</w:t>
        <w:br/>
        <w:t>Із синьої звільнившись шкаралущі.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Неждано так ця хмара присиніла...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