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буде гречка...</w:t>
      </w:r>
    </w:p>
    <w:p>
      <w:r>
        <w:br/>
        <w:t xml:space="preserve"> І прорік чоловік: — Не кажу й словечка... —&lt;br /&gt;</w:t>
        <w:br/>
        <w:t>І сказав чоловік: — Нехай буде гречка...—&lt;br /&gt;</w:t>
        <w:br/>
        <w:t>І у гречку стрибнув, потім — у капусту,&lt;br /&gt;</w:t>
        <w:br/>
        <w:t>Звідти бусол несе щось рожеве в хустці.&lt;br /&gt;</w:t>
        <w:br/>
        <w:t>любов — не без умов...&lt;br /&gt;</w:t>
        <w:br/>
        <w:t>Як поливають, легко так цвісти:&lt;br /&gt;</w:t>
        <w:br/>
        <w:t>Ти пишна, ніжна, ще не стала злючкою.&lt;br /&gt;</w:t>
        <w:br/>
        <w:t>А спробуй, люба, у пісках рости —&lt;br /&gt;</w:t>
        <w:br/>
        <w:t>Цвісти й не стать верблюжою колючкою.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буде гречка...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