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 силах ткати я...</w:t>
      </w:r>
    </w:p>
    <w:p>
      <w:r>
        <w:br/>
        <w:t xml:space="preserve"> Не в силах ткати я —&lt;br /&gt;</w:t>
        <w:br/>
        <w:t>Серце болить,&lt;br /&gt;</w:t>
        <w:br/>
        <w:t>O рідна мамо!&lt;br /&gt;</w:t>
        <w:br/>
        <w:t>Жагою, мов вогнем,&lt;br /&gt;</w:t>
        <w:br/>
        <w:t>Мучить мене&lt;br /&gt;</w:t>
        <w:br/>
        <w:t>Кіпріда ніжна. [150]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 силах ткати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