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 в вечірнюю годину...</w:t>
      </w:r>
    </w:p>
    <w:p>
      <w:r>
        <w:br/>
        <w:t xml:space="preserve"> * * *</w:t>
      </w:r>
    </w:p>
    <w:p>
      <w:r>
        <w:br/>
        <w:t>Не раз в вечірнюю годину&lt;br /&gt;</w:t>
        <w:br/>
        <w:t>Я йду поблиз твоєї хати&lt;br /&gt;</w:t>
        <w:br/>
        <w:t>І чую, як тугою линуть&lt;br /&gt;</w:t>
        <w:br/>
        <w:t>Звуки вечірньої сонати&lt;br /&gt;</w:t>
        <w:br/>
        <w:t>В край зоряних світів…</w:t>
      </w:r>
    </w:p>
    <w:p>
      <w:r>
        <w:br/>
        <w:t>Я чую: ти сама їх граєш,&lt;br /&gt;</w:t>
        <w:br/>
        <w:t>Як і колись. Чи на наругу?&lt;br /&gt;</w:t>
        <w:br/>
        <w:t>Чи споминів у них шукаєш,&lt;br /&gt;</w:t>
        <w:br/>
        <w:t>Чи присипляєш свою тугу —&lt;br /&gt;</w:t>
        <w:br/>
        <w:t>За сном щасливих днів!?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 в вечірнюю годину...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