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давайте мені їсти</w:t>
      </w:r>
    </w:p>
    <w:p>
      <w:r>
        <w:br/>
        <w:t xml:space="preserve"> Я наївся досхочу –&lt;br /&gt;</w:t>
        <w:br/>
        <w:t>Тільки дихаю й мовчу,&lt;br /&gt;</w:t>
        <w:br/>
        <w:t>Бо уже мені до рота&lt;br /&gt;</w:t>
        <w:br/>
        <w:t>Не пролізе навіть шпрота,&lt;br /&gt;</w:t>
        <w:br/>
        <w:t>Навіть макова зернинка&lt;br /&gt;</w:t>
        <w:br/>
        <w:t>Чи зернинки половинка.</w:t>
      </w:r>
    </w:p>
    <w:p>
      <w:r>
        <w:br/>
        <w:t>І не встати, і не сісти,&lt;br /&gt;</w:t>
        <w:br/>
        <w:t>Тож я змушений сказать:&lt;br /&gt;</w:t>
        <w:br/>
        <w:t>Не давайте мені їсти –&lt;br /&gt;</w:t>
        <w:br/>
        <w:t>Ще хвилин, приблизно, п’ять.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давайте мені їсти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