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варті</w:t>
      </w:r>
    </w:p>
    <w:p>
      <w:r>
        <w:br/>
        <w:t xml:space="preserve"> &lt;blockquote&gt;Світлій пам’яті Юрія Дарагана.&lt;/blockquote&gt;</w:t>
      </w:r>
    </w:p>
    <w:p>
      <w:r>
        <w:br/>
        <w:t>Не знаєш гасла – боронись!&lt;br /&gt;</w:t>
        <w:br/>
        <w:t>Освячений держу я спис.&lt;br /&gt;</w:t>
        <w:br/>
        <w:t>Я попіл бороню батьків,&lt;br /&gt;</w:t>
        <w:br/>
        <w:t>героїв – славу, честь – борців.</w:t>
      </w:r>
    </w:p>
    <w:p>
      <w:r>
        <w:br/>
        <w:t>Зухвальче, чолом, оком ниць!&lt;br /&gt;</w:t>
        <w:br/>
        <w:t>Тут недоторканість гробниць,&lt;br /&gt;</w:t>
        <w:br/>
        <w:t>багаття, і священний дуб,&lt;br /&gt;</w:t>
        <w:br/>
        <w:t>і Володимирів тризуб.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варті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