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Можливо, лиш вона, та туга невсипуща...</w:t>
      </w:r>
    </w:p>
    <w:p>
      <w:r>
        <w:br/>
        <w:t xml:space="preserve"> Можливо, лиш вона, та туга невсипуща&lt;br /&gt;</w:t>
        <w:br/>
        <w:t>Невідомо за ким, невідомо за чим,—&lt;br /&gt;</w:t>
        <w:br/>
        <w:t>Єдине, що горить у наших нетрях-пущах&lt;br /&gt;</w:t>
        <w:br/>
        <w:t>Вогнем високим і ясним.</w:t>
      </w:r>
    </w:p>
    <w:p>
      <w:r>
        <w:br/>
        <w:t>Прага, 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Можливо, лиш вона, та туга невсипуща...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