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Мови данина... Дивом...</w:t>
      </w:r>
    </w:p>
    <w:p>
      <w:r>
        <w:br/>
        <w:t xml:space="preserve"> Мови данина... Дивом&lt;br /&gt;</w:t>
        <w:br/>
        <w:t>Нотую у тон:&lt;br /&gt;</w:t>
        <w:br/>
        <w:t>О — соло гожо-голосо.&lt;br /&gt;</w:t>
        <w:br/>
        <w:t>Е — Лель, леле.&lt;br /&gt;</w:t>
        <w:br/>
        <w:t>А —&lt;br /&gt;</w:t>
        <w:br/>
        <w:t>Вада, гадав...&lt;br /&gt;</w:t>
        <w:br/>
        <w:t>У — гуд у дугу.&lt;br /&gt;</w:t>
        <w:br/>
        <w:t>И — бурану наруби.&lt;br /&gt;</w:t>
        <w:br/>
        <w:t>I — лети, Боже, меж обителi...&lt;br /&gt;</w:t>
        <w:br/>
        <w:t>Нотi тут i тон.&lt;br /&gt;</w:t>
        <w:br/>
        <w:t>У нурт — струну&lt;br /&gt;</w:t>
        <w:br/>
        <w:t>Мови, де дивом —&lt;br /&gt;</w:t>
        <w:br/>
        <w:t>I леза на зелi.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Мови данина... Дивом...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