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і сонце</w:t>
      </w:r>
    </w:p>
    <w:p>
      <w:r>
        <w:br/>
        <w:t xml:space="preserve"> — Місяць, місяць, а навіщо&lt;br /&gt;</w:t>
        <w:br/>
        <w:t>з неба світиш ти щоночі?&lt;br /&gt;</w:t>
        <w:br/>
        <w:t>— Щоб за ніч поспало сонце,&lt;br /&gt;</w:t>
        <w:br/>
        <w:t>бо й воно спочити хоче.</w:t>
      </w:r>
    </w:p>
    <w:p>
      <w:r>
        <w:br/>
        <w:t>— Сонце, сонце, а навіщо&lt;br /&gt;</w:t>
        <w:br/>
        <w:t>ти щоденно з неба світиш?</w:t>
      </w:r>
    </w:p>
    <w:p>
      <w:r>
        <w:br/>
        <w:t>— Щоб мені раділи люди,&lt;br /&gt;</w:t>
        <w:br/>
        <w:t>щоб мене вітали квіти.&lt;br /&gt;</w:t>
        <w:br/>
        <w:t>Та і місяцю ж потрібно&lt;br /&gt;</w:t>
        <w:br/>
        <w:t>теж колись перепочити...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і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