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Манометр</w:t>
      </w:r>
    </w:p>
    <w:p>
      <w:r>
        <w:br/>
        <w:t xml:space="preserve"> На дибу взято села. А міста&lt;br /&gt;</w:t>
        <w:br/>
        <w:t>на мідяні тимпани грають&lt;br /&gt;</w:t>
        <w:br/>
        <w:t>і титанічний круг розхитують&lt;br /&gt;</w:t>
        <w:br/>
        <w:t>у буряному непокою сили.&lt;br /&gt;</w:t>
        <w:br/>
        <w:t>Ведичні терези повисли над часами.&lt;br /&gt;</w:t>
        <w:br/>
        <w:t>Обезуміло в румби рве стріла,&lt;br /&gt;</w:t>
        <w:br/>
        <w:t>тарелі там і тут, —&lt;br /&gt;</w:t>
        <w:br/>
        <w:t>плигають гумові літа&lt;br /&gt;</w:t>
        <w:br/>
        <w:t>і об залізні мури б’ються.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Манометр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